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line="240" w:lineRule="atLeast"/>
        <w:jc w:val="center"/>
        <w:rPr>
          <w:rFonts w:hint="eastAsia" w:eastAsiaTheme="minorEastAsia"/>
          <w:sz w:val="44"/>
          <w:szCs w:val="44"/>
          <w:lang w:eastAsia="zh-CN"/>
        </w:rPr>
      </w:pPr>
      <w:r>
        <w:rPr>
          <w:rFonts w:hint="eastAsia"/>
          <w:sz w:val="44"/>
          <w:szCs w:val="44"/>
          <w:lang w:eastAsia="zh-CN"/>
        </w:rPr>
        <w:t>民办非学历教育机构财务状况备案信息表</w:t>
      </w:r>
    </w:p>
    <w:tbl>
      <w:tblPr>
        <w:tblStyle w:val="6"/>
        <w:tblW w:w="8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1"/>
        <w:gridCol w:w="6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事项名称</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kern w:val="0"/>
                <w:sz w:val="24"/>
              </w:rPr>
            </w:pPr>
            <w:r>
              <w:rPr>
                <w:rFonts w:hint="eastAsia" w:ascii="仿宋" w:hAnsi="仿宋" w:eastAsia="仿宋" w:cs="仿宋"/>
                <w:color w:val="FF0000"/>
                <w:kern w:val="0"/>
                <w:sz w:val="24"/>
                <w:lang w:eastAsia="zh-CN"/>
              </w:rPr>
              <w:t>民办非学历教育机构财务状况备案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6"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事项编码</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职权类型</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kern w:val="0"/>
                <w:sz w:val="24"/>
              </w:rPr>
            </w:pPr>
            <w:r>
              <w:rPr>
                <w:rFonts w:hint="eastAsia" w:ascii="仿宋" w:hAnsi="仿宋" w:eastAsia="仿宋" w:cs="仿宋"/>
                <w:color w:val="FF0000"/>
                <w:kern w:val="0"/>
                <w:sz w:val="24"/>
                <w:lang w:eastAsia="zh-CN"/>
              </w:rPr>
              <w:t>行政检查</w:t>
            </w:r>
            <w:r>
              <w:rPr>
                <w:rFonts w:hint="eastAsia" w:ascii="仿宋" w:hAnsi="仿宋" w:eastAsia="仿宋" w:cs="仿宋"/>
                <w:color w:val="FF0000"/>
                <w:kern w:val="0"/>
                <w:sz w:val="24"/>
                <w:lang w:val="en-US" w:eastAsia="zh-CN"/>
              </w:rPr>
              <w:t xml:space="preserve"> 、审核。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办理类型</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kern w:val="0"/>
                <w:sz w:val="24"/>
                <w:lang w:eastAsia="zh-CN"/>
              </w:rPr>
            </w:pPr>
            <w:r>
              <w:rPr>
                <w:rFonts w:hint="eastAsia" w:ascii="仿宋" w:hAnsi="仿宋" w:eastAsia="仿宋" w:cs="仿宋"/>
                <w:color w:val="FF0000"/>
                <w:kern w:val="0"/>
                <w:sz w:val="24"/>
              </w:rPr>
              <w:t>行政</w:t>
            </w:r>
            <w:r>
              <w:rPr>
                <w:rFonts w:hint="eastAsia" w:ascii="仿宋" w:hAnsi="仿宋" w:eastAsia="仿宋" w:cs="仿宋"/>
                <w:color w:val="FF0000"/>
                <w:kern w:val="0"/>
                <w:sz w:val="24"/>
                <w:lang w:eastAsia="zh-CN"/>
              </w:rPr>
              <w:t>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委托授权类型</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spacing w:val="-10"/>
                <w:kern w:val="0"/>
                <w:sz w:val="24"/>
                <w:lang w:eastAsia="zh-CN"/>
              </w:rPr>
            </w:pPr>
            <w:r>
              <w:rPr>
                <w:rFonts w:hint="eastAsia" w:ascii="仿宋" w:hAnsi="仿宋" w:eastAsia="仿宋" w:cs="仿宋"/>
                <w:color w:val="FF0000"/>
                <w:spacing w:val="-10"/>
                <w:kern w:val="0"/>
                <w:sz w:val="24"/>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办理主体</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40" w:firstLineChars="200"/>
              <w:jc w:val="left"/>
              <w:rPr>
                <w:rFonts w:hint="eastAsia" w:ascii="仿宋" w:hAnsi="仿宋" w:eastAsia="仿宋" w:cs="仿宋"/>
                <w:color w:val="FF0000"/>
                <w:spacing w:val="-10"/>
                <w:kern w:val="0"/>
                <w:sz w:val="24"/>
              </w:rPr>
            </w:pPr>
            <w:r>
              <w:rPr>
                <w:rFonts w:hint="eastAsia" w:ascii="仿宋" w:hAnsi="仿宋" w:eastAsia="仿宋" w:cs="仿宋"/>
                <w:color w:val="FF0000"/>
                <w:spacing w:val="-10"/>
                <w:kern w:val="0"/>
                <w:sz w:val="24"/>
              </w:rPr>
              <w:t>大武口区教育体育局</w:t>
            </w:r>
            <w:r>
              <w:rPr>
                <w:rFonts w:hint="eastAsia" w:ascii="仿宋" w:hAnsi="仿宋" w:eastAsia="仿宋" w:cs="仿宋"/>
                <w:color w:val="FF0000"/>
                <w:spacing w:val="-10"/>
                <w:kern w:val="0"/>
                <w:sz w:val="24"/>
                <w:lang w:eastAsia="zh-CN"/>
              </w:rPr>
              <w:t>规划财务</w:t>
            </w:r>
            <w:r>
              <w:rPr>
                <w:rFonts w:hint="eastAsia" w:ascii="仿宋" w:hAnsi="仿宋" w:eastAsia="仿宋" w:cs="仿宋"/>
                <w:color w:val="FF0000"/>
                <w:spacing w:val="-10"/>
                <w:kern w:val="0"/>
                <w:sz w:val="24"/>
              </w:rPr>
              <w:t>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6"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lang w:eastAsia="zh-CN"/>
              </w:rPr>
              <w:t>备案</w:t>
            </w:r>
            <w:r>
              <w:rPr>
                <w:rFonts w:hint="eastAsia" w:ascii="黑体" w:hAnsi="黑体" w:eastAsia="黑体" w:cs="黑体"/>
                <w:kern w:val="0"/>
                <w:sz w:val="24"/>
              </w:rPr>
              <w:t>主体</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kern w:val="0"/>
                <w:sz w:val="24"/>
                <w:lang w:eastAsia="zh-CN"/>
              </w:rPr>
            </w:pPr>
            <w:r>
              <w:rPr>
                <w:rFonts w:hint="eastAsia" w:ascii="仿宋" w:hAnsi="仿宋" w:eastAsia="仿宋" w:cs="仿宋"/>
                <w:color w:val="FF0000"/>
                <w:kern w:val="0"/>
                <w:sz w:val="24"/>
                <w:lang w:eastAsia="zh-CN"/>
              </w:rPr>
              <w:t>有《民办学校办学许可证》资格的民办非学历教育培训机构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lang w:eastAsia="zh-CN"/>
              </w:rPr>
              <w:t>备案</w:t>
            </w:r>
            <w:r>
              <w:rPr>
                <w:rFonts w:hint="eastAsia" w:ascii="黑体" w:hAnsi="黑体" w:eastAsia="黑体" w:cs="黑体"/>
                <w:kern w:val="0"/>
                <w:sz w:val="24"/>
              </w:rPr>
              <w:t>条件</w:t>
            </w:r>
          </w:p>
        </w:tc>
        <w:tc>
          <w:tcPr>
            <w:tcW w:w="6959" w:type="dxa"/>
            <w:tcBorders>
              <w:top w:val="single" w:color="auto" w:sz="4" w:space="0"/>
              <w:left w:val="single" w:color="auto" w:sz="4" w:space="0"/>
              <w:bottom w:val="single" w:color="auto" w:sz="4" w:space="0"/>
              <w:right w:val="single" w:color="auto" w:sz="4" w:space="0"/>
            </w:tcBorders>
            <w:vAlign w:val="center"/>
          </w:tcPr>
          <w:tbl>
            <w:tblPr>
              <w:tblStyle w:val="6"/>
              <w:tblW w:w="695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6" w:hRule="atLeast"/>
                <w:jc w:val="center"/>
              </w:trPr>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kern w:val="0"/>
                      <w:sz w:val="24"/>
                      <w:lang w:eastAsia="zh-CN"/>
                    </w:rPr>
                  </w:pPr>
                  <w:r>
                    <w:rPr>
                      <w:rFonts w:hint="eastAsia" w:ascii="仿宋" w:hAnsi="仿宋" w:eastAsia="仿宋" w:cs="仿宋"/>
                      <w:color w:val="FF0000"/>
                      <w:kern w:val="0"/>
                      <w:sz w:val="24"/>
                      <w:lang w:eastAsia="zh-CN"/>
                    </w:rPr>
                    <w:t>有《民办学校办学许可证》资格的民办非学历教育培训机构</w:t>
                  </w:r>
                </w:p>
              </w:tc>
            </w:tr>
          </w:tbl>
          <w:p>
            <w:pPr>
              <w:widowControl/>
              <w:adjustRightInd w:val="0"/>
              <w:snapToGrid w:val="0"/>
              <w:spacing w:line="360" w:lineRule="atLeast"/>
              <w:ind w:firstLine="440" w:firstLineChars="200"/>
              <w:jc w:val="left"/>
              <w:rPr>
                <w:rFonts w:hint="eastAsia" w:ascii="仿宋" w:hAnsi="仿宋" w:eastAsia="仿宋" w:cs="仿宋"/>
                <w:color w:val="FF0000"/>
                <w:kern w:val="0"/>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6"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数量限制</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9"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法律依据</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kern w:val="0"/>
                <w:sz w:val="24"/>
                <w:lang w:eastAsia="zh-CN"/>
              </w:rPr>
            </w:pPr>
            <w:r>
              <w:rPr>
                <w:rFonts w:hint="eastAsia" w:ascii="仿宋" w:hAnsi="仿宋" w:eastAsia="仿宋" w:cs="仿宋"/>
                <w:color w:val="FF0000"/>
                <w:kern w:val="0"/>
                <w:sz w:val="24"/>
                <w:lang w:eastAsia="zh-CN"/>
              </w:rPr>
              <w:t>【法律】《中华人民共和国民办教育促进法》（2013年修改）</w:t>
            </w:r>
          </w:p>
          <w:p>
            <w:pPr>
              <w:pStyle w:val="2"/>
              <w:keepNext w:val="0"/>
              <w:keepLines w:val="0"/>
              <w:widowControl/>
              <w:suppressLineNumbers w:val="0"/>
              <w:spacing w:before="0" w:beforeAutospacing="1" w:after="0" w:afterAutospacing="1" w:line="360" w:lineRule="auto"/>
              <w:ind w:left="0" w:right="0"/>
              <w:jc w:val="left"/>
              <w:rPr>
                <w:rFonts w:hint="eastAsia" w:ascii="仿宋" w:hAnsi="仿宋" w:eastAsia="仿宋" w:cs="仿宋"/>
                <w:color w:val="FF0000"/>
                <w:kern w:val="0"/>
                <w:sz w:val="24"/>
                <w:szCs w:val="24"/>
                <w:lang w:val="en-US" w:eastAsia="zh-CN" w:bidi="ar-SA"/>
              </w:rPr>
            </w:pPr>
            <w:r>
              <w:rPr>
                <w:rFonts w:hint="eastAsia" w:ascii="仿宋" w:hAnsi="仿宋" w:eastAsia="仿宋" w:cs="仿宋"/>
                <w:color w:val="FF0000"/>
                <w:kern w:val="0"/>
                <w:sz w:val="24"/>
                <w:szCs w:val="24"/>
                <w:lang w:val="en-US" w:eastAsia="zh-CN" w:bidi="ar-SA"/>
              </w:rPr>
              <w:t xml:space="preserve">第五章 学校资产与财务管理 </w:t>
            </w:r>
          </w:p>
          <w:p>
            <w:pPr>
              <w:pStyle w:val="2"/>
              <w:keepNext w:val="0"/>
              <w:keepLines w:val="0"/>
              <w:widowControl/>
              <w:suppressLineNumbers w:val="0"/>
              <w:spacing w:before="0" w:beforeAutospacing="1" w:after="0" w:afterAutospacing="1" w:line="360" w:lineRule="auto"/>
              <w:ind w:left="0" w:right="0"/>
              <w:jc w:val="left"/>
              <w:rPr>
                <w:rFonts w:hint="eastAsia" w:ascii="仿宋" w:hAnsi="仿宋" w:eastAsia="仿宋" w:cs="仿宋"/>
                <w:color w:val="FF0000"/>
                <w:kern w:val="0"/>
                <w:sz w:val="24"/>
                <w:szCs w:val="24"/>
                <w:lang w:val="en-US" w:eastAsia="zh-CN" w:bidi="ar-SA"/>
              </w:rPr>
            </w:pPr>
            <w:r>
              <w:rPr>
                <w:rFonts w:hint="eastAsia" w:ascii="仿宋" w:hAnsi="仿宋" w:eastAsia="仿宋" w:cs="仿宋"/>
                <w:color w:val="FF0000"/>
                <w:kern w:val="0"/>
                <w:sz w:val="24"/>
                <w:szCs w:val="24"/>
                <w:lang w:val="en-US" w:eastAsia="zh-CN" w:bidi="ar-SA"/>
              </w:rPr>
              <w:t xml:space="preserve">第三十四条 民办学校应当依法建立财务、会计制度和资产管理制度，并按照国家有关规定设置会计帐簿。 </w:t>
            </w:r>
          </w:p>
          <w:p>
            <w:pPr>
              <w:pStyle w:val="2"/>
              <w:keepNext w:val="0"/>
              <w:keepLines w:val="0"/>
              <w:widowControl/>
              <w:suppressLineNumbers w:val="0"/>
              <w:spacing w:before="0" w:beforeAutospacing="1" w:after="0" w:afterAutospacing="1" w:line="360" w:lineRule="auto"/>
              <w:ind w:left="0" w:right="0"/>
              <w:jc w:val="left"/>
              <w:rPr>
                <w:rFonts w:hint="eastAsia" w:ascii="仿宋" w:hAnsi="仿宋" w:eastAsia="仿宋" w:cs="仿宋"/>
                <w:color w:val="FF0000"/>
                <w:kern w:val="0"/>
                <w:sz w:val="24"/>
                <w:szCs w:val="24"/>
                <w:lang w:val="en-US" w:eastAsia="zh-CN" w:bidi="ar-SA"/>
              </w:rPr>
            </w:pPr>
            <w:r>
              <w:rPr>
                <w:rFonts w:hint="eastAsia" w:ascii="仿宋" w:hAnsi="仿宋" w:eastAsia="仿宋" w:cs="仿宋"/>
                <w:color w:val="FF0000"/>
                <w:kern w:val="0"/>
                <w:sz w:val="24"/>
                <w:szCs w:val="24"/>
                <w:lang w:val="en-US" w:eastAsia="zh-CN" w:bidi="ar-SA"/>
              </w:rPr>
              <w:t xml:space="preserve">第三十五条 民办学校对举办者投入民办学校的资产、国有资产、受赠的财产以及办学积累，享有法人财产权。 </w:t>
            </w:r>
          </w:p>
          <w:p>
            <w:pPr>
              <w:pStyle w:val="2"/>
              <w:keepNext w:val="0"/>
              <w:keepLines w:val="0"/>
              <w:widowControl/>
              <w:suppressLineNumbers w:val="0"/>
              <w:spacing w:before="0" w:beforeAutospacing="1" w:after="0" w:afterAutospacing="1" w:line="360" w:lineRule="auto"/>
              <w:ind w:left="0" w:right="0"/>
              <w:jc w:val="left"/>
              <w:rPr>
                <w:rFonts w:hint="eastAsia" w:ascii="仿宋" w:hAnsi="仿宋" w:eastAsia="仿宋" w:cs="仿宋"/>
                <w:color w:val="FF0000"/>
                <w:kern w:val="0"/>
                <w:sz w:val="24"/>
                <w:szCs w:val="24"/>
                <w:lang w:val="en-US" w:eastAsia="zh-CN" w:bidi="ar-SA"/>
              </w:rPr>
            </w:pPr>
            <w:r>
              <w:rPr>
                <w:rFonts w:hint="eastAsia" w:ascii="仿宋" w:hAnsi="仿宋" w:eastAsia="仿宋" w:cs="仿宋"/>
                <w:color w:val="FF0000"/>
                <w:kern w:val="0"/>
                <w:sz w:val="24"/>
                <w:szCs w:val="24"/>
                <w:lang w:val="en-US" w:eastAsia="zh-CN" w:bidi="ar-SA"/>
              </w:rPr>
              <w:t xml:space="preserve">第三十六条 民办学校存续期间，所有资产由民办学校依法管理和使用，任何组织和个人不得侵占。 </w:t>
            </w:r>
          </w:p>
          <w:p>
            <w:pPr>
              <w:pStyle w:val="2"/>
              <w:keepNext w:val="0"/>
              <w:keepLines w:val="0"/>
              <w:widowControl/>
              <w:suppressLineNumbers w:val="0"/>
              <w:spacing w:before="0" w:beforeAutospacing="1" w:after="0" w:afterAutospacing="1" w:line="360" w:lineRule="auto"/>
              <w:ind w:left="0" w:right="0"/>
              <w:jc w:val="left"/>
              <w:rPr>
                <w:rFonts w:hint="eastAsia" w:ascii="仿宋" w:hAnsi="仿宋" w:eastAsia="仿宋" w:cs="仿宋"/>
                <w:color w:val="FF0000"/>
                <w:kern w:val="0"/>
                <w:sz w:val="24"/>
                <w:szCs w:val="24"/>
                <w:lang w:val="en-US" w:eastAsia="zh-CN" w:bidi="ar-SA"/>
              </w:rPr>
            </w:pPr>
            <w:r>
              <w:rPr>
                <w:rFonts w:hint="eastAsia" w:ascii="仿宋" w:hAnsi="仿宋" w:eastAsia="仿宋" w:cs="仿宋"/>
                <w:color w:val="FF0000"/>
                <w:kern w:val="0"/>
                <w:sz w:val="24"/>
                <w:szCs w:val="24"/>
                <w:lang w:val="en-US" w:eastAsia="zh-CN" w:bidi="ar-SA"/>
              </w:rPr>
              <w:t xml:space="preserve">任何组织和个人都不得违反法律、法规向民办教育机构收取任何费用。 </w:t>
            </w:r>
          </w:p>
          <w:p>
            <w:pPr>
              <w:pStyle w:val="2"/>
              <w:keepNext w:val="0"/>
              <w:keepLines w:val="0"/>
              <w:widowControl/>
              <w:suppressLineNumbers w:val="0"/>
              <w:spacing w:before="0" w:beforeAutospacing="1" w:after="0" w:afterAutospacing="1" w:line="360" w:lineRule="auto"/>
              <w:ind w:left="0" w:right="0"/>
              <w:jc w:val="left"/>
              <w:rPr>
                <w:rFonts w:hint="eastAsia" w:ascii="仿宋" w:hAnsi="仿宋" w:eastAsia="仿宋" w:cs="仿宋"/>
                <w:color w:val="FF0000"/>
                <w:kern w:val="0"/>
                <w:sz w:val="24"/>
                <w:szCs w:val="24"/>
                <w:lang w:val="en-US" w:eastAsia="zh-CN" w:bidi="ar-SA"/>
              </w:rPr>
            </w:pPr>
            <w:r>
              <w:rPr>
                <w:rFonts w:hint="eastAsia" w:ascii="仿宋" w:hAnsi="仿宋" w:eastAsia="仿宋" w:cs="仿宋"/>
                <w:color w:val="FF0000"/>
                <w:kern w:val="0"/>
                <w:sz w:val="24"/>
                <w:szCs w:val="24"/>
                <w:lang w:val="en-US" w:eastAsia="zh-CN" w:bidi="ar-SA"/>
              </w:rPr>
              <w:t xml:space="preserve">第三十七条 民办学校对接受学历教育的受教育者收取费用的项目和标准由学校制定，报有关部门批准并公示；对其他受教育者收取费用的项目和标准由学校制定，报有关部门备案并公示。 </w:t>
            </w:r>
          </w:p>
          <w:p>
            <w:pPr>
              <w:pStyle w:val="2"/>
              <w:keepNext w:val="0"/>
              <w:keepLines w:val="0"/>
              <w:widowControl/>
              <w:suppressLineNumbers w:val="0"/>
              <w:spacing w:before="0" w:beforeAutospacing="1" w:after="0" w:afterAutospacing="1" w:line="360" w:lineRule="auto"/>
              <w:ind w:left="0" w:right="0"/>
              <w:jc w:val="left"/>
              <w:rPr>
                <w:rFonts w:hint="eastAsia" w:ascii="仿宋" w:hAnsi="仿宋" w:eastAsia="仿宋" w:cs="仿宋"/>
                <w:color w:val="FF0000"/>
                <w:kern w:val="0"/>
                <w:sz w:val="24"/>
                <w:szCs w:val="24"/>
                <w:lang w:val="en-US" w:eastAsia="zh-CN" w:bidi="ar-SA"/>
              </w:rPr>
            </w:pPr>
            <w:r>
              <w:rPr>
                <w:rFonts w:hint="eastAsia" w:ascii="仿宋" w:hAnsi="仿宋" w:eastAsia="仿宋" w:cs="仿宋"/>
                <w:color w:val="FF0000"/>
                <w:kern w:val="0"/>
                <w:sz w:val="24"/>
                <w:szCs w:val="24"/>
                <w:lang w:val="en-US" w:eastAsia="zh-CN" w:bidi="ar-SA"/>
              </w:rPr>
              <w:t xml:space="preserve">民办学校收取的费用应当主要用于教育教学活动和改善办学条件。 </w:t>
            </w:r>
          </w:p>
          <w:p>
            <w:pPr>
              <w:pStyle w:val="2"/>
              <w:keepNext w:val="0"/>
              <w:keepLines w:val="0"/>
              <w:widowControl/>
              <w:suppressLineNumbers w:val="0"/>
              <w:spacing w:before="0" w:beforeAutospacing="1" w:after="0" w:afterAutospacing="1" w:line="360" w:lineRule="auto"/>
              <w:ind w:left="0" w:right="0"/>
              <w:jc w:val="left"/>
              <w:rPr>
                <w:rFonts w:hint="eastAsia" w:ascii="仿宋" w:hAnsi="仿宋" w:eastAsia="仿宋" w:cs="仿宋"/>
                <w:color w:val="FF0000"/>
                <w:kern w:val="0"/>
                <w:sz w:val="24"/>
                <w:szCs w:val="24"/>
                <w:lang w:val="en-US" w:eastAsia="zh-CN" w:bidi="ar-SA"/>
              </w:rPr>
            </w:pPr>
            <w:r>
              <w:rPr>
                <w:rFonts w:hint="eastAsia" w:ascii="仿宋" w:hAnsi="仿宋" w:eastAsia="仿宋" w:cs="仿宋"/>
                <w:color w:val="FF0000"/>
                <w:kern w:val="0"/>
                <w:sz w:val="24"/>
                <w:szCs w:val="24"/>
                <w:lang w:val="en-US" w:eastAsia="zh-CN" w:bidi="ar-SA"/>
              </w:rPr>
              <w:t xml:space="preserve">第三十八条 民办学校资产的使用和财务管理受审批机关和其他有关部门的监督。 </w:t>
            </w:r>
          </w:p>
          <w:p>
            <w:pPr>
              <w:pStyle w:val="2"/>
              <w:keepNext w:val="0"/>
              <w:keepLines w:val="0"/>
              <w:widowControl/>
              <w:suppressLineNumbers w:val="0"/>
              <w:spacing w:before="0" w:beforeAutospacing="1" w:after="0" w:afterAutospacing="1" w:line="360" w:lineRule="auto"/>
              <w:ind w:left="0" w:right="0"/>
              <w:jc w:val="left"/>
              <w:rPr>
                <w:rFonts w:hint="eastAsia" w:ascii="仿宋" w:hAnsi="仿宋" w:eastAsia="仿宋" w:cs="仿宋"/>
                <w:color w:val="FF0000"/>
                <w:kern w:val="0"/>
                <w:sz w:val="24"/>
                <w:szCs w:val="24"/>
                <w:lang w:val="en-US" w:eastAsia="zh-CN" w:bidi="ar-SA"/>
              </w:rPr>
            </w:pPr>
            <w:r>
              <w:rPr>
                <w:rFonts w:hint="eastAsia" w:ascii="仿宋" w:hAnsi="仿宋" w:eastAsia="仿宋" w:cs="仿宋"/>
                <w:color w:val="FF0000"/>
                <w:kern w:val="0"/>
                <w:sz w:val="24"/>
                <w:szCs w:val="24"/>
                <w:lang w:val="en-US" w:eastAsia="zh-CN" w:bidi="ar-SA"/>
              </w:rPr>
              <w:t xml:space="preserve">民办学校应当在每个会计年度结束时制作财务会计报告，委托会计师事务所依法进行审计，并公布审计结果。 </w:t>
            </w:r>
          </w:p>
          <w:p>
            <w:pPr>
              <w:widowControl/>
              <w:adjustRightInd w:val="0"/>
              <w:snapToGrid w:val="0"/>
              <w:spacing w:line="360" w:lineRule="atLeast"/>
              <w:ind w:firstLine="480" w:firstLineChars="200"/>
              <w:jc w:val="left"/>
              <w:rPr>
                <w:rFonts w:hint="eastAsia" w:ascii="仿宋" w:hAnsi="仿宋" w:eastAsia="仿宋" w:cs="仿宋"/>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申报材料</w:t>
            </w:r>
          </w:p>
        </w:tc>
        <w:tc>
          <w:tcPr>
            <w:tcW w:w="6959" w:type="dxa"/>
            <w:tcBorders>
              <w:top w:val="single" w:color="auto" w:sz="4" w:space="0"/>
              <w:left w:val="single" w:color="auto" w:sz="4" w:space="0"/>
              <w:bottom w:val="single" w:color="auto" w:sz="4" w:space="0"/>
              <w:right w:val="single" w:color="auto" w:sz="4" w:space="0"/>
            </w:tcBorders>
            <w:vAlign w:val="center"/>
          </w:tcPr>
          <w:p>
            <w:pPr>
              <w:numPr>
                <w:ilvl w:val="0"/>
                <w:numId w:val="0"/>
              </w:numPr>
              <w:spacing w:line="360" w:lineRule="atLeast"/>
              <w:jc w:val="left"/>
              <w:rPr>
                <w:rFonts w:hint="eastAsia" w:ascii="仿宋" w:hAnsi="仿宋" w:eastAsia="仿宋" w:cs="仿宋"/>
                <w:color w:val="FF0000"/>
                <w:kern w:val="0"/>
                <w:sz w:val="24"/>
                <w:lang w:val="en-US" w:eastAsia="zh-CN"/>
              </w:rPr>
            </w:pPr>
            <w:r>
              <w:rPr>
                <w:rFonts w:hint="eastAsia" w:ascii="仿宋" w:hAnsi="仿宋" w:eastAsia="仿宋" w:cs="仿宋"/>
                <w:color w:val="FF0000"/>
                <w:kern w:val="0"/>
                <w:sz w:val="24"/>
                <w:lang w:val="en-US" w:eastAsia="zh-CN"/>
              </w:rPr>
              <w:t xml:space="preserve">    民办非学历教育机构年度财务报告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服务表格</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w:t>
            </w:r>
            <w:r>
              <w:rPr>
                <w:rFonts w:hint="eastAsia" w:ascii="仿宋" w:hAnsi="仿宋" w:eastAsia="仿宋" w:cs="仿宋"/>
                <w:color w:val="FF0000"/>
                <w:kern w:val="0"/>
                <w:sz w:val="24"/>
                <w:lang w:eastAsia="zh-CN"/>
              </w:rPr>
              <w:t>民办非学历教育机构年度财务报表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color w:val="000000"/>
                <w:kern w:val="0"/>
                <w:sz w:val="24"/>
              </w:rPr>
              <w:t>收费依据和标准</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不收费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法定期限</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w:t>
            </w:r>
            <w:r>
              <w:rPr>
                <w:rFonts w:hint="eastAsia" w:ascii="仿宋" w:hAnsi="仿宋" w:eastAsia="仿宋" w:cs="仿宋"/>
                <w:color w:val="FF0000"/>
                <w:kern w:val="0"/>
                <w:sz w:val="24"/>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0"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承诺期限</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w:t>
            </w:r>
            <w:r>
              <w:rPr>
                <w:rFonts w:hint="eastAsia" w:ascii="仿宋" w:hAnsi="仿宋" w:eastAsia="仿宋" w:cs="仿宋"/>
                <w:color w:val="FF0000"/>
                <w:kern w:val="0"/>
                <w:sz w:val="24"/>
                <w:lang w:val="en-US" w:eastAsia="zh-CN"/>
              </w:rPr>
              <w:t xml:space="preserve"> </w:t>
            </w:r>
            <w:r>
              <w:rPr>
                <w:rFonts w:hint="eastAsia" w:ascii="仿宋" w:hAnsi="仿宋" w:eastAsia="仿宋" w:cs="仿宋"/>
                <w:color w:val="FF0000"/>
                <w:kern w:val="0"/>
                <w:sz w:val="24"/>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特殊环节</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年审或</w:t>
            </w:r>
          </w:p>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年检</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事项公示</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宁夏政务服务网、大武口区政府网、大武口区教育体育局网站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办理地点</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sz w:val="24"/>
                <w:lang w:eastAsia="zh-Hans"/>
              </w:rPr>
            </w:pPr>
            <w:r>
              <w:rPr>
                <w:rFonts w:hint="eastAsia" w:ascii="仿宋" w:hAnsi="仿宋" w:eastAsia="仿宋" w:cs="仿宋"/>
                <w:color w:val="FF0000"/>
                <w:sz w:val="24"/>
              </w:rPr>
              <w:t>大武口区</w:t>
            </w:r>
            <w:r>
              <w:rPr>
                <w:rFonts w:hint="eastAsia" w:ascii="仿宋" w:hAnsi="仿宋" w:eastAsia="仿宋" w:cs="仿宋"/>
                <w:color w:val="FF0000"/>
                <w:kern w:val="0"/>
                <w:sz w:val="24"/>
              </w:rPr>
              <w:t>政务服务大厅教育体育局</w:t>
            </w:r>
            <w:r>
              <w:rPr>
                <w:rFonts w:hint="eastAsia" w:ascii="仿宋" w:hAnsi="仿宋" w:eastAsia="仿宋" w:cs="仿宋"/>
                <w:color w:val="FF0000"/>
                <w:sz w:val="24"/>
                <w:lang w:eastAsia="zh-Hans"/>
              </w:rPr>
              <w:t>窗口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联系电话</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sz w:val="24"/>
                <w:lang w:eastAsia="zh-Hans"/>
              </w:rPr>
            </w:pPr>
            <w:r>
              <w:rPr>
                <w:rFonts w:hint="eastAsia" w:ascii="仿宋" w:hAnsi="仿宋" w:eastAsia="仿宋" w:cs="仿宋"/>
                <w:color w:val="FF0000"/>
                <w:sz w:val="24"/>
              </w:rPr>
              <w:t xml:space="preserve">    </w:t>
            </w:r>
            <w:r>
              <w:rPr>
                <w:rFonts w:hint="eastAsia" w:ascii="仿宋" w:hAnsi="仿宋" w:eastAsia="仿宋" w:cs="仿宋"/>
                <w:color w:val="FF0000"/>
                <w:sz w:val="24"/>
                <w:lang w:eastAsia="zh-Hans"/>
              </w:rPr>
              <w:t>095</w:t>
            </w:r>
            <w:r>
              <w:rPr>
                <w:rFonts w:hint="eastAsia" w:ascii="仿宋" w:hAnsi="仿宋" w:eastAsia="仿宋" w:cs="仿宋"/>
                <w:color w:val="FF0000"/>
                <w:sz w:val="24"/>
              </w:rPr>
              <w:t>2</w:t>
            </w:r>
            <w:r>
              <w:rPr>
                <w:rFonts w:hint="eastAsia" w:ascii="仿宋" w:hAnsi="仿宋" w:eastAsia="仿宋" w:cs="仿宋"/>
                <w:color w:val="FF0000"/>
                <w:sz w:val="24"/>
                <w:lang w:eastAsia="zh-Hans"/>
              </w:rPr>
              <w:t>-</w:t>
            </w:r>
            <w:r>
              <w:rPr>
                <w:rFonts w:hint="eastAsia" w:ascii="仿宋" w:hAnsi="仿宋" w:eastAsia="仿宋" w:cs="仿宋"/>
                <w:color w:val="FF0000"/>
                <w:sz w:val="24"/>
              </w:rPr>
              <w:t>2688696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监督电话</w:t>
            </w:r>
          </w:p>
        </w:tc>
        <w:tc>
          <w:tcPr>
            <w:tcW w:w="695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tLeas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0952-2688608、2012076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9"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办理查询</w:t>
            </w:r>
          </w:p>
        </w:tc>
        <w:tc>
          <w:tcPr>
            <w:tcW w:w="695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tLeast"/>
              <w:ind w:firstLine="480" w:firstLineChars="200"/>
              <w:rPr>
                <w:rFonts w:hint="eastAsia" w:ascii="仿宋" w:hAnsi="仿宋" w:eastAsia="仿宋" w:cs="仿宋"/>
                <w:color w:val="FF0000"/>
                <w:kern w:val="0"/>
                <w:sz w:val="24"/>
              </w:rPr>
            </w:pPr>
            <w:r>
              <w:rPr>
                <w:rFonts w:hint="eastAsia" w:ascii="仿宋" w:hAnsi="仿宋" w:eastAsia="仿宋" w:cs="仿宋"/>
                <w:color w:val="FF0000"/>
                <w:kern w:val="0"/>
                <w:sz w:val="24"/>
              </w:rPr>
              <w:t>申请人可通过宁夏政务服务网、大武口区政务服务大厅窗口电话、政务服务微信平台、大武口区政务服务大厅窗口等方式查询政务服务事项的办理进程。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0"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在线办理链接</w:t>
            </w:r>
          </w:p>
        </w:tc>
        <w:tc>
          <w:tcPr>
            <w:tcW w:w="695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tLeast"/>
              <w:ind w:firstLine="480" w:firstLineChars="200"/>
              <w:rPr>
                <w:rFonts w:hint="eastAsia" w:ascii="仿宋" w:hAnsi="仿宋" w:eastAsia="仿宋" w:cs="仿宋_GB2312"/>
                <w:color w:val="FF0000"/>
                <w:kern w:val="0"/>
                <w:sz w:val="24"/>
              </w:rPr>
            </w:pPr>
          </w:p>
        </w:tc>
      </w:tr>
    </w:tbl>
    <w:p/>
    <w:p/>
    <w:p/>
    <w:p/>
    <w:p/>
    <w:p/>
    <w:p/>
    <w:p/>
    <w:p/>
    <w:p/>
    <w:p/>
    <w:p/>
    <w:p/>
    <w:p/>
    <w:p/>
    <w:p/>
    <w:p/>
    <w:p/>
    <w:p>
      <w:pPr>
        <w:autoSpaceDE w:val="0"/>
        <w:autoSpaceDN w:val="0"/>
        <w:adjustRightInd w:val="0"/>
        <w:snapToGrid w:val="0"/>
        <w:spacing w:line="240" w:lineRule="atLeast"/>
        <w:jc w:val="center"/>
        <w:rPr>
          <w:rFonts w:hint="eastAsia" w:ascii="方正小标宋简体" w:hAnsi="宋体" w:eastAsia="方正小标宋简体" w:cs="宋体"/>
          <w:kern w:val="0"/>
          <w:sz w:val="44"/>
          <w:szCs w:val="44"/>
        </w:rPr>
      </w:pPr>
      <w:r>
        <w:rPr>
          <w:rFonts w:hint="eastAsia" w:ascii="方正小标宋简体" w:hAnsi="宋体" w:eastAsia="方正小标宋简体" w:cs="宋体"/>
          <w:kern w:val="0"/>
          <w:sz w:val="44"/>
          <w:szCs w:val="44"/>
          <w:lang w:eastAsia="zh-CN"/>
        </w:rPr>
        <w:t>民办非学历教育机构财务状况备案</w:t>
      </w:r>
      <w:r>
        <w:rPr>
          <w:rFonts w:hint="eastAsia" w:ascii="方正小标宋简体" w:hAnsi="宋体" w:eastAsia="方正小标宋简体" w:cs="宋体"/>
          <w:kern w:val="0"/>
          <w:sz w:val="44"/>
          <w:szCs w:val="44"/>
        </w:rPr>
        <w:t>流程</w:t>
      </w:r>
    </w:p>
    <w:tbl>
      <w:tblPr>
        <w:tblStyle w:val="6"/>
        <w:tblpPr w:leftFromText="180" w:rightFromText="180" w:vertAnchor="text" w:horzAnchor="page" w:tblpX="1650" w:tblpY="99"/>
        <w:tblOverlap w:val="never"/>
        <w:tblW w:w="8620" w:type="dxa"/>
        <w:tblInd w:w="0" w:type="dxa"/>
        <w:tblLayout w:type="fixed"/>
        <w:tblCellMar>
          <w:top w:w="0" w:type="dxa"/>
          <w:left w:w="14" w:type="dxa"/>
          <w:bottom w:w="0" w:type="dxa"/>
          <w:right w:w="14" w:type="dxa"/>
        </w:tblCellMar>
      </w:tblPr>
      <w:tblGrid>
        <w:gridCol w:w="1079"/>
        <w:gridCol w:w="1494"/>
        <w:gridCol w:w="4278"/>
        <w:gridCol w:w="1769"/>
      </w:tblGrid>
      <w:tr>
        <w:tblPrEx>
          <w:tblLayout w:type="fixed"/>
          <w:tblCellMar>
            <w:top w:w="0" w:type="dxa"/>
            <w:left w:w="14" w:type="dxa"/>
            <w:bottom w:w="0" w:type="dxa"/>
            <w:right w:w="14" w:type="dxa"/>
          </w:tblCellMar>
        </w:tblPrEx>
        <w:trPr>
          <w:trHeight w:val="1148" w:hRule="atLeast"/>
        </w:trPr>
        <w:tc>
          <w:tcPr>
            <w:tcW w:w="1079" w:type="dxa"/>
            <w:tcBorders>
              <w:top w:val="single" w:color="000000" w:sz="2" w:space="0"/>
              <w:left w:val="single" w:color="000000" w:sz="2"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程  序</w:t>
            </w:r>
          </w:p>
        </w:tc>
        <w:tc>
          <w:tcPr>
            <w:tcW w:w="1494" w:type="dxa"/>
            <w:tcBorders>
              <w:top w:val="single" w:color="000000" w:sz="2"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责任单位</w:t>
            </w:r>
          </w:p>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及责任人</w:t>
            </w:r>
          </w:p>
        </w:tc>
        <w:tc>
          <w:tcPr>
            <w:tcW w:w="4278" w:type="dxa"/>
            <w:tcBorders>
              <w:top w:val="single" w:color="000000" w:sz="2"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工作内容</w:t>
            </w:r>
          </w:p>
        </w:tc>
        <w:tc>
          <w:tcPr>
            <w:tcW w:w="1769" w:type="dxa"/>
            <w:tcBorders>
              <w:top w:val="single" w:color="000000" w:sz="2" w:space="0"/>
              <w:left w:val="single" w:color="auto" w:sz="4" w:space="0"/>
              <w:bottom w:val="single" w:color="auto" w:sz="4" w:space="0"/>
              <w:right w:val="single" w:color="000000" w:sz="2"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办结时限</w:t>
            </w:r>
          </w:p>
        </w:tc>
      </w:tr>
      <w:tr>
        <w:tblPrEx>
          <w:tblLayout w:type="fixed"/>
          <w:tblCellMar>
            <w:top w:w="0" w:type="dxa"/>
            <w:left w:w="14" w:type="dxa"/>
            <w:bottom w:w="0" w:type="dxa"/>
            <w:right w:w="14" w:type="dxa"/>
          </w:tblCellMar>
        </w:tblPrEx>
        <w:trPr>
          <w:trHeight w:val="2583" w:hRule="atLeast"/>
        </w:trPr>
        <w:tc>
          <w:tcPr>
            <w:tcW w:w="1079" w:type="dxa"/>
            <w:tcBorders>
              <w:top w:val="single" w:color="auto" w:sz="4" w:space="0"/>
              <w:left w:val="single" w:color="000000" w:sz="2"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受  理</w:t>
            </w:r>
          </w:p>
        </w:tc>
        <w:tc>
          <w:tcPr>
            <w:tcW w:w="1494" w:type="dxa"/>
            <w:tcBorders>
              <w:top w:val="single" w:color="auto" w:sz="4" w:space="0"/>
              <w:left w:val="single" w:color="auto" w:sz="4" w:space="0"/>
              <w:bottom w:val="single" w:color="000000" w:sz="2" w:space="0"/>
              <w:right w:val="single" w:color="auto" w:sz="4" w:space="0"/>
            </w:tcBorders>
            <w:vAlign w:val="center"/>
          </w:tcPr>
          <w:p>
            <w:pPr>
              <w:adjustRightInd w:val="0"/>
              <w:snapToGrid w:val="0"/>
              <w:spacing w:line="280" w:lineRule="atLeast"/>
              <w:jc w:val="center"/>
              <w:rPr>
                <w:rFonts w:hint="eastAsia" w:ascii="仿宋" w:hAnsi="仿宋" w:eastAsia="仿宋" w:cs="仿宋"/>
                <w:color w:val="FF0000"/>
                <w:kern w:val="0"/>
                <w:sz w:val="24"/>
                <w:lang w:eastAsia="zh-CN"/>
              </w:rPr>
            </w:pPr>
            <w:r>
              <w:rPr>
                <w:rFonts w:hint="eastAsia" w:ascii="仿宋" w:hAnsi="仿宋" w:eastAsia="仿宋" w:cs="仿宋"/>
                <w:color w:val="FF0000"/>
                <w:kern w:val="0"/>
                <w:sz w:val="24"/>
                <w:lang w:eastAsia="zh-CN"/>
              </w:rPr>
              <w:t>无</w:t>
            </w:r>
          </w:p>
        </w:tc>
        <w:tc>
          <w:tcPr>
            <w:tcW w:w="4278" w:type="dxa"/>
            <w:tcBorders>
              <w:top w:val="single" w:color="auto" w:sz="4" w:space="0"/>
              <w:left w:val="single" w:color="auto" w:sz="4" w:space="0"/>
              <w:bottom w:val="single" w:color="000000" w:sz="2" w:space="0"/>
              <w:right w:val="single" w:color="auto" w:sz="4" w:space="0"/>
            </w:tcBorders>
            <w:vAlign w:val="center"/>
          </w:tcPr>
          <w:p>
            <w:pPr>
              <w:adjustRightInd w:val="0"/>
              <w:snapToGrid w:val="0"/>
              <w:spacing w:line="280" w:lineRule="atLeast"/>
              <w:jc w:val="center"/>
              <w:rPr>
                <w:rFonts w:hint="eastAsia" w:ascii="仿宋" w:hAnsi="仿宋" w:eastAsia="仿宋" w:cs="仿宋"/>
                <w:color w:val="FF0000"/>
                <w:kern w:val="0"/>
                <w:sz w:val="24"/>
                <w:lang w:eastAsia="zh-CN"/>
              </w:rPr>
            </w:pPr>
            <w:r>
              <w:rPr>
                <w:rFonts w:hint="eastAsia" w:ascii="仿宋" w:hAnsi="仿宋" w:eastAsia="仿宋" w:cs="仿宋"/>
                <w:color w:val="FF0000"/>
                <w:kern w:val="0"/>
                <w:sz w:val="24"/>
                <w:lang w:eastAsia="zh-CN"/>
              </w:rPr>
              <w:t>无</w:t>
            </w:r>
          </w:p>
        </w:tc>
        <w:tc>
          <w:tcPr>
            <w:tcW w:w="1769" w:type="dxa"/>
            <w:tcBorders>
              <w:top w:val="single" w:color="auto" w:sz="4" w:space="0"/>
              <w:left w:val="single" w:color="auto" w:sz="4" w:space="0"/>
              <w:bottom w:val="single" w:color="000000" w:sz="2" w:space="0"/>
              <w:right w:val="single" w:color="000000" w:sz="2" w:space="0"/>
            </w:tcBorders>
            <w:vAlign w:val="center"/>
          </w:tcPr>
          <w:p>
            <w:pPr>
              <w:autoSpaceDE w:val="0"/>
              <w:autoSpaceDN w:val="0"/>
              <w:adjustRightInd w:val="0"/>
              <w:snapToGrid w:val="0"/>
              <w:spacing w:line="400" w:lineRule="atLeast"/>
              <w:jc w:val="center"/>
              <w:rPr>
                <w:rFonts w:hint="eastAsia" w:ascii="仿宋" w:hAnsi="仿宋" w:eastAsia="仿宋" w:cs="仿宋"/>
                <w:color w:val="FF0000"/>
                <w:kern w:val="0"/>
                <w:sz w:val="24"/>
                <w:lang w:val="zh-CN"/>
              </w:rPr>
            </w:pPr>
            <w:r>
              <w:rPr>
                <w:rFonts w:hint="eastAsia" w:ascii="仿宋" w:hAnsi="仿宋" w:eastAsia="仿宋" w:cs="仿宋"/>
                <w:color w:val="FF0000"/>
                <w:kern w:val="0"/>
                <w:sz w:val="24"/>
                <w:lang w:val="zh-CN"/>
              </w:rPr>
              <w:t>无</w:t>
            </w:r>
          </w:p>
        </w:tc>
      </w:tr>
      <w:tr>
        <w:tblPrEx>
          <w:tblLayout w:type="fixed"/>
          <w:tblCellMar>
            <w:top w:w="0" w:type="dxa"/>
            <w:left w:w="14" w:type="dxa"/>
            <w:bottom w:w="0" w:type="dxa"/>
            <w:right w:w="14" w:type="dxa"/>
          </w:tblCellMar>
        </w:tblPrEx>
        <w:trPr>
          <w:trHeight w:val="1636" w:hRule="atLeast"/>
        </w:trPr>
        <w:tc>
          <w:tcPr>
            <w:tcW w:w="1079" w:type="dxa"/>
            <w:vMerge w:val="restart"/>
            <w:tcBorders>
              <w:top w:val="single" w:color="auto" w:sz="4" w:space="0"/>
              <w:left w:val="single" w:color="000000" w:sz="2"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审  查</w:t>
            </w:r>
          </w:p>
        </w:tc>
        <w:tc>
          <w:tcPr>
            <w:tcW w:w="1494" w:type="dxa"/>
            <w:tcBorders>
              <w:top w:val="single" w:color="000000" w:sz="2"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FF0000"/>
                <w:kern w:val="0"/>
                <w:sz w:val="24"/>
                <w:lang w:eastAsia="zh-CN"/>
              </w:rPr>
            </w:pPr>
            <w:r>
              <w:rPr>
                <w:rFonts w:hint="eastAsia" w:ascii="仿宋" w:hAnsi="仿宋" w:eastAsia="仿宋" w:cs="仿宋"/>
                <w:color w:val="FF0000"/>
                <w:kern w:val="0"/>
                <w:sz w:val="24"/>
              </w:rPr>
              <w:t>区教育体育局</w:t>
            </w:r>
            <w:r>
              <w:rPr>
                <w:rFonts w:hint="eastAsia" w:ascii="仿宋" w:hAnsi="仿宋" w:eastAsia="仿宋" w:cs="仿宋"/>
                <w:color w:val="FF0000"/>
                <w:kern w:val="0"/>
                <w:sz w:val="24"/>
                <w:lang w:eastAsia="zh-CN"/>
              </w:rPr>
              <w:t>规划财务室</w:t>
            </w:r>
          </w:p>
          <w:p>
            <w:pPr>
              <w:adjustRightInd w:val="0"/>
              <w:snapToGrid w:val="0"/>
              <w:spacing w:line="280" w:lineRule="atLeast"/>
              <w:jc w:val="center"/>
              <w:rPr>
                <w:rFonts w:hint="eastAsia" w:ascii="仿宋" w:hAnsi="仿宋" w:eastAsia="仿宋" w:cs="仿宋"/>
                <w:color w:val="FF0000"/>
                <w:sz w:val="24"/>
                <w:lang w:eastAsia="zh-CN"/>
              </w:rPr>
            </w:pPr>
            <w:r>
              <w:rPr>
                <w:rFonts w:hint="eastAsia" w:ascii="仿宋" w:hAnsi="仿宋" w:eastAsia="仿宋" w:cs="仿宋"/>
                <w:color w:val="FF0000"/>
                <w:kern w:val="0"/>
                <w:sz w:val="24"/>
                <w:lang w:eastAsia="zh-CN"/>
              </w:rPr>
              <w:t>黄学琴</w:t>
            </w:r>
          </w:p>
        </w:tc>
        <w:tc>
          <w:tcPr>
            <w:tcW w:w="4278" w:type="dxa"/>
            <w:tcBorders>
              <w:top w:val="single" w:color="000000" w:sz="2" w:space="0"/>
              <w:left w:val="single" w:color="auto" w:sz="4" w:space="0"/>
              <w:bottom w:val="single" w:color="auto" w:sz="4" w:space="0"/>
              <w:right w:val="single" w:color="auto" w:sz="4" w:space="0"/>
            </w:tcBorders>
            <w:vAlign w:val="center"/>
          </w:tcPr>
          <w:p>
            <w:pPr>
              <w:pStyle w:val="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both"/>
              <w:textAlignment w:val="auto"/>
              <w:outlineLvl w:val="9"/>
              <w:rPr>
                <w:rFonts w:hint="eastAsia" w:ascii="仿宋" w:hAnsi="仿宋" w:eastAsia="仿宋" w:cs="仿宋"/>
                <w:color w:val="FF0000"/>
                <w:sz w:val="24"/>
                <w:lang w:val="en-US" w:eastAsia="zh-CN"/>
              </w:rPr>
            </w:pPr>
            <w:r>
              <w:rPr>
                <w:rFonts w:hint="eastAsia" w:ascii="仿宋" w:hAnsi="仿宋" w:eastAsia="仿宋" w:cs="仿宋"/>
                <w:color w:val="FF0000"/>
                <w:kern w:val="0"/>
                <w:sz w:val="24"/>
                <w:szCs w:val="24"/>
                <w:lang w:val="en-US" w:eastAsia="zh-CN" w:bidi="ar-SA"/>
              </w:rPr>
              <w:t xml:space="preserve">    审核民办非学历教育机构在每个会计年度结束时上报的财务报告，公布审核结果，并送报办公室。</w:t>
            </w:r>
          </w:p>
        </w:tc>
        <w:tc>
          <w:tcPr>
            <w:tcW w:w="1769" w:type="dxa"/>
            <w:tcBorders>
              <w:top w:val="single" w:color="000000" w:sz="2" w:space="0"/>
              <w:left w:val="single" w:color="auto" w:sz="4" w:space="0"/>
              <w:bottom w:val="single" w:color="auto" w:sz="4" w:space="0"/>
              <w:right w:val="single" w:color="000000" w:sz="2" w:space="0"/>
            </w:tcBorders>
            <w:vAlign w:val="center"/>
          </w:tcPr>
          <w:p>
            <w:pPr>
              <w:autoSpaceDE w:val="0"/>
              <w:autoSpaceDN w:val="0"/>
              <w:adjustRightInd w:val="0"/>
              <w:snapToGrid w:val="0"/>
              <w:spacing w:line="400" w:lineRule="atLeast"/>
              <w:jc w:val="left"/>
              <w:rPr>
                <w:rFonts w:hint="eastAsia" w:ascii="仿宋" w:hAnsi="仿宋" w:eastAsia="仿宋" w:cs="仿宋"/>
                <w:color w:val="FF0000"/>
                <w:kern w:val="0"/>
                <w:sz w:val="24"/>
                <w:lang w:val="en-US" w:eastAsia="zh-CN"/>
              </w:rPr>
            </w:pPr>
          </w:p>
        </w:tc>
      </w:tr>
      <w:tr>
        <w:tblPrEx>
          <w:tblLayout w:type="fixed"/>
          <w:tblCellMar>
            <w:top w:w="0" w:type="dxa"/>
            <w:left w:w="14" w:type="dxa"/>
            <w:bottom w:w="0" w:type="dxa"/>
            <w:right w:w="14" w:type="dxa"/>
          </w:tblCellMar>
        </w:tblPrEx>
        <w:trPr>
          <w:trHeight w:val="1884" w:hRule="atLeast"/>
        </w:trPr>
        <w:tc>
          <w:tcPr>
            <w:tcW w:w="1079" w:type="dxa"/>
            <w:vMerge w:val="continue"/>
            <w:tcBorders>
              <w:top w:val="single" w:color="auto" w:sz="4" w:space="0"/>
              <w:left w:val="single" w:color="000000" w:sz="2" w:space="0"/>
              <w:bottom w:val="single" w:color="000000" w:sz="2"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p>
        </w:tc>
        <w:tc>
          <w:tcPr>
            <w:tcW w:w="1494" w:type="dxa"/>
            <w:tcBorders>
              <w:top w:val="single" w:color="auto" w:sz="4" w:space="0"/>
              <w:left w:val="single" w:color="auto" w:sz="4" w:space="0"/>
              <w:bottom w:val="single" w:color="000000" w:sz="2"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rPr>
              <w:t>区教育体育局办公室</w:t>
            </w:r>
          </w:p>
          <w:p>
            <w:pPr>
              <w:spacing w:line="360" w:lineRule="exact"/>
              <w:jc w:val="center"/>
              <w:rPr>
                <w:rFonts w:hint="eastAsia" w:ascii="仿宋" w:hAnsi="仿宋" w:eastAsia="仿宋" w:cs="仿宋"/>
                <w:color w:val="FF0000"/>
                <w:kern w:val="0"/>
                <w:sz w:val="24"/>
                <w:lang w:eastAsia="zh-CN"/>
              </w:rPr>
            </w:pPr>
            <w:r>
              <w:rPr>
                <w:rFonts w:hint="eastAsia" w:ascii="仿宋" w:hAnsi="仿宋" w:eastAsia="仿宋" w:cs="仿宋"/>
                <w:color w:val="FF0000"/>
                <w:kern w:val="0"/>
                <w:sz w:val="24"/>
                <w:lang w:eastAsia="zh-CN"/>
              </w:rPr>
              <w:t>张军</w:t>
            </w:r>
          </w:p>
          <w:p>
            <w:pPr>
              <w:spacing w:line="360" w:lineRule="exact"/>
              <w:jc w:val="center"/>
              <w:rPr>
                <w:rFonts w:hint="eastAsia" w:ascii="仿宋" w:hAnsi="仿宋" w:eastAsia="仿宋" w:cs="仿宋"/>
                <w:color w:val="FF0000"/>
                <w:sz w:val="24"/>
                <w:lang w:eastAsia="zh-CN"/>
              </w:rPr>
            </w:pPr>
            <w:r>
              <w:rPr>
                <w:rFonts w:hint="eastAsia" w:ascii="仿宋" w:hAnsi="仿宋" w:eastAsia="仿宋" w:cs="仿宋"/>
                <w:color w:val="FF0000"/>
                <w:kern w:val="0"/>
                <w:sz w:val="24"/>
              </w:rPr>
              <w:t>1</w:t>
            </w:r>
            <w:r>
              <w:rPr>
                <w:rFonts w:hint="eastAsia" w:ascii="仿宋" w:hAnsi="仿宋" w:eastAsia="仿宋" w:cs="仿宋"/>
                <w:color w:val="FF0000"/>
                <w:kern w:val="0"/>
                <w:sz w:val="24"/>
                <w:lang w:val="en-US" w:eastAsia="zh-CN"/>
              </w:rPr>
              <w:t>8295021906</w:t>
            </w:r>
          </w:p>
        </w:tc>
        <w:tc>
          <w:tcPr>
            <w:tcW w:w="4278"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80" w:firstLineChars="200"/>
              <w:jc w:val="both"/>
              <w:rPr>
                <w:rFonts w:hint="eastAsia" w:ascii="仿宋" w:hAnsi="仿宋" w:eastAsia="仿宋" w:cs="仿宋"/>
                <w:color w:val="FF0000"/>
                <w:sz w:val="24"/>
                <w:lang w:eastAsia="zh-CN"/>
              </w:rPr>
            </w:pPr>
            <w:r>
              <w:rPr>
                <w:rFonts w:hint="eastAsia" w:ascii="仿宋" w:hAnsi="仿宋" w:eastAsia="仿宋" w:cs="仿宋"/>
                <w:color w:val="FF0000"/>
                <w:kern w:val="0"/>
                <w:sz w:val="24"/>
                <w:szCs w:val="24"/>
                <w:lang w:val="en-US" w:eastAsia="zh-CN" w:bidi="ar-SA"/>
              </w:rPr>
              <w:t>审核规划财务室报送的民办非学历教育机构上报的财务报告。</w:t>
            </w:r>
          </w:p>
        </w:tc>
        <w:tc>
          <w:tcPr>
            <w:tcW w:w="1769" w:type="dxa"/>
            <w:tcBorders>
              <w:top w:val="single" w:color="auto" w:sz="4" w:space="0"/>
              <w:left w:val="single" w:color="auto" w:sz="4" w:space="0"/>
              <w:bottom w:val="single" w:color="auto" w:sz="4" w:space="0"/>
              <w:right w:val="single" w:color="000000" w:sz="2" w:space="0"/>
            </w:tcBorders>
            <w:vAlign w:val="center"/>
          </w:tcPr>
          <w:p>
            <w:pPr>
              <w:autoSpaceDE w:val="0"/>
              <w:autoSpaceDN w:val="0"/>
              <w:adjustRightInd w:val="0"/>
              <w:snapToGrid w:val="0"/>
              <w:spacing w:line="400" w:lineRule="atLeast"/>
              <w:jc w:val="center"/>
              <w:rPr>
                <w:rFonts w:hint="eastAsia" w:ascii="仿宋" w:hAnsi="仿宋" w:eastAsia="仿宋" w:cs="仿宋"/>
                <w:color w:val="FF0000"/>
                <w:kern w:val="0"/>
                <w:sz w:val="24"/>
                <w:lang w:val="zh-CN"/>
              </w:rPr>
            </w:pPr>
          </w:p>
        </w:tc>
      </w:tr>
      <w:tr>
        <w:tblPrEx>
          <w:tblLayout w:type="fixed"/>
          <w:tblCellMar>
            <w:top w:w="0" w:type="dxa"/>
            <w:left w:w="14" w:type="dxa"/>
            <w:bottom w:w="0" w:type="dxa"/>
            <w:right w:w="14" w:type="dxa"/>
          </w:tblCellMar>
        </w:tblPrEx>
        <w:trPr>
          <w:trHeight w:val="1631" w:hRule="atLeast"/>
        </w:trPr>
        <w:tc>
          <w:tcPr>
            <w:tcW w:w="1079"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决  定</w:t>
            </w:r>
          </w:p>
        </w:tc>
        <w:tc>
          <w:tcPr>
            <w:tcW w:w="1494" w:type="dxa"/>
            <w:tcBorders>
              <w:top w:val="single" w:color="000000" w:sz="2" w:space="0"/>
              <w:left w:val="single" w:color="000000" w:sz="2" w:space="0"/>
              <w:bottom w:val="single" w:color="000000" w:sz="2"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rPr>
              <w:t>区教育体育局</w:t>
            </w:r>
          </w:p>
          <w:p>
            <w:pPr>
              <w:adjustRightInd w:val="0"/>
              <w:snapToGrid w:val="0"/>
              <w:spacing w:line="280" w:lineRule="atLeast"/>
              <w:jc w:val="center"/>
              <w:rPr>
                <w:rFonts w:hint="eastAsia" w:ascii="仿宋" w:hAnsi="仿宋" w:eastAsia="仿宋" w:cs="仿宋"/>
                <w:color w:val="FF0000"/>
                <w:kern w:val="0"/>
                <w:sz w:val="24"/>
                <w:lang w:val="zh-CN"/>
              </w:rPr>
            </w:pPr>
            <w:r>
              <w:rPr>
                <w:rFonts w:hint="eastAsia" w:ascii="仿宋" w:hAnsi="仿宋" w:eastAsia="仿宋" w:cs="仿宋"/>
                <w:color w:val="FF0000"/>
                <w:kern w:val="0"/>
                <w:sz w:val="24"/>
                <w:lang w:val="zh-CN"/>
              </w:rPr>
              <w:t>赵辉</w:t>
            </w:r>
            <w:r>
              <w:rPr>
                <w:rFonts w:hint="eastAsia" w:ascii="仿宋" w:hAnsi="仿宋" w:eastAsia="仿宋" w:cs="仿宋"/>
                <w:color w:val="FF0000"/>
                <w:kern w:val="0"/>
                <w:sz w:val="24"/>
                <w:lang w:val="en-US" w:eastAsia="zh-CN"/>
              </w:rPr>
              <w:t>13995023038</w:t>
            </w:r>
          </w:p>
        </w:tc>
        <w:tc>
          <w:tcPr>
            <w:tcW w:w="4278" w:type="dxa"/>
            <w:tcBorders>
              <w:top w:val="single" w:color="000000" w:sz="2" w:space="0"/>
              <w:left w:val="single" w:color="auto" w:sz="4" w:space="0"/>
              <w:bottom w:val="single" w:color="000000" w:sz="2" w:space="0"/>
              <w:right w:val="single" w:color="auto" w:sz="4" w:space="0"/>
            </w:tcBorders>
            <w:vAlign w:val="center"/>
          </w:tcPr>
          <w:p>
            <w:pPr>
              <w:autoSpaceDE w:val="0"/>
              <w:autoSpaceDN w:val="0"/>
              <w:adjustRightInd w:val="0"/>
              <w:snapToGrid w:val="0"/>
              <w:spacing w:line="400" w:lineRule="atLeast"/>
              <w:jc w:val="left"/>
              <w:rPr>
                <w:rFonts w:hint="eastAsia" w:ascii="仿宋" w:hAnsi="仿宋" w:eastAsia="仿宋" w:cs="仿宋"/>
                <w:color w:val="FF0000"/>
                <w:kern w:val="0"/>
                <w:sz w:val="24"/>
                <w:lang w:val="zh-CN"/>
              </w:rPr>
            </w:pPr>
            <w:r>
              <w:rPr>
                <w:rFonts w:hint="eastAsia" w:ascii="仿宋" w:hAnsi="仿宋" w:eastAsia="仿宋" w:cs="仿宋"/>
                <w:color w:val="FF0000"/>
                <w:kern w:val="0"/>
                <w:sz w:val="24"/>
                <w:lang w:val="en-US" w:eastAsia="zh-CN"/>
              </w:rPr>
              <w:t xml:space="preserve">    </w:t>
            </w:r>
            <w:r>
              <w:rPr>
                <w:rFonts w:hint="eastAsia" w:ascii="仿宋" w:hAnsi="仿宋" w:eastAsia="仿宋"/>
                <w:color w:val="FF0000"/>
                <w:sz w:val="24"/>
              </w:rPr>
              <w:t>签发《审查意见书》，在2个工作日完成。</w:t>
            </w:r>
            <w:r>
              <w:rPr>
                <w:rFonts w:hint="eastAsia" w:ascii="仿宋" w:hAnsi="仿宋" w:eastAsia="仿宋" w:cs="仿宋"/>
                <w:color w:val="FF0000"/>
                <w:kern w:val="0"/>
                <w:sz w:val="24"/>
                <w:lang w:val="en-US" w:eastAsia="zh-CN"/>
              </w:rPr>
              <w:t xml:space="preserve">   </w:t>
            </w:r>
          </w:p>
        </w:tc>
        <w:tc>
          <w:tcPr>
            <w:tcW w:w="1769" w:type="dxa"/>
            <w:tcBorders>
              <w:top w:val="single" w:color="000000" w:sz="2" w:space="0"/>
              <w:left w:val="single" w:color="auto" w:sz="4" w:space="0"/>
              <w:bottom w:val="single" w:color="auto" w:sz="4" w:space="0"/>
              <w:right w:val="single" w:color="000000" w:sz="2" w:space="0"/>
            </w:tcBorders>
            <w:vAlign w:val="center"/>
          </w:tcPr>
          <w:p>
            <w:pPr>
              <w:autoSpaceDE w:val="0"/>
              <w:autoSpaceDN w:val="0"/>
              <w:adjustRightInd w:val="0"/>
              <w:snapToGrid w:val="0"/>
              <w:spacing w:line="400" w:lineRule="atLeast"/>
              <w:jc w:val="left"/>
              <w:rPr>
                <w:rFonts w:hint="eastAsia" w:ascii="仿宋" w:hAnsi="仿宋" w:eastAsia="仿宋" w:cs="仿宋"/>
                <w:color w:val="FF0000"/>
                <w:kern w:val="0"/>
                <w:sz w:val="24"/>
                <w:lang w:val="en-US" w:eastAsia="zh-CN"/>
              </w:rPr>
            </w:pPr>
            <w:r>
              <w:rPr>
                <w:rFonts w:hint="eastAsia" w:ascii="仿宋" w:hAnsi="仿宋" w:eastAsia="仿宋" w:cs="仿宋"/>
                <w:color w:val="FF0000"/>
                <w:kern w:val="0"/>
                <w:sz w:val="24"/>
                <w:lang w:val="en-US" w:eastAsia="zh-CN"/>
              </w:rPr>
              <w:t xml:space="preserve">       无</w:t>
            </w:r>
          </w:p>
        </w:tc>
      </w:tr>
      <w:tr>
        <w:tblPrEx>
          <w:tblLayout w:type="fixed"/>
          <w:tblCellMar>
            <w:top w:w="0" w:type="dxa"/>
            <w:left w:w="14" w:type="dxa"/>
            <w:bottom w:w="0" w:type="dxa"/>
            <w:right w:w="14" w:type="dxa"/>
          </w:tblCellMar>
        </w:tblPrEx>
        <w:trPr>
          <w:trHeight w:val="1566" w:hRule="atLeast"/>
        </w:trPr>
        <w:tc>
          <w:tcPr>
            <w:tcW w:w="1079"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送  达</w:t>
            </w:r>
          </w:p>
        </w:tc>
        <w:tc>
          <w:tcPr>
            <w:tcW w:w="1494" w:type="dxa"/>
            <w:tcBorders>
              <w:top w:val="single" w:color="000000" w:sz="2" w:space="0"/>
              <w:left w:val="single" w:color="000000" w:sz="2" w:space="0"/>
              <w:bottom w:val="single" w:color="000000" w:sz="2" w:space="0"/>
              <w:right w:val="single" w:color="auto" w:sz="4" w:space="0"/>
            </w:tcBorders>
            <w:vAlign w:val="center"/>
          </w:tcPr>
          <w:p>
            <w:pPr>
              <w:adjustRightInd w:val="0"/>
              <w:snapToGrid w:val="0"/>
              <w:spacing w:line="280" w:lineRule="atLeast"/>
              <w:jc w:val="center"/>
              <w:rPr>
                <w:rFonts w:hint="eastAsia" w:ascii="仿宋" w:hAnsi="仿宋" w:eastAsia="仿宋" w:cs="仿宋"/>
                <w:color w:val="FF0000"/>
                <w:kern w:val="0"/>
                <w:sz w:val="24"/>
                <w:lang w:eastAsia="zh-CN"/>
              </w:rPr>
            </w:pPr>
            <w:r>
              <w:rPr>
                <w:rFonts w:hint="eastAsia" w:ascii="仿宋" w:hAnsi="仿宋" w:eastAsia="仿宋" w:cs="仿宋"/>
                <w:color w:val="FF0000"/>
                <w:kern w:val="0"/>
                <w:sz w:val="24"/>
              </w:rPr>
              <w:t>区教育体育局</w:t>
            </w:r>
            <w:r>
              <w:rPr>
                <w:rFonts w:hint="eastAsia" w:ascii="仿宋" w:hAnsi="仿宋" w:eastAsia="仿宋" w:cs="仿宋"/>
                <w:color w:val="FF0000"/>
                <w:kern w:val="0"/>
                <w:sz w:val="24"/>
                <w:lang w:eastAsia="zh-CN"/>
              </w:rPr>
              <w:t>规划财务室</w:t>
            </w:r>
          </w:p>
          <w:p>
            <w:pPr>
              <w:adjustRightInd w:val="0"/>
              <w:snapToGrid w:val="0"/>
              <w:spacing w:line="280" w:lineRule="atLeast"/>
              <w:jc w:val="center"/>
              <w:rPr>
                <w:rFonts w:hint="eastAsia" w:ascii="仿宋" w:hAnsi="仿宋" w:eastAsia="仿宋" w:cs="仿宋"/>
                <w:color w:val="FF0000"/>
                <w:kern w:val="0"/>
                <w:sz w:val="24"/>
                <w:lang w:eastAsia="zh-CN"/>
              </w:rPr>
            </w:pPr>
            <w:r>
              <w:rPr>
                <w:rFonts w:hint="eastAsia" w:ascii="仿宋" w:hAnsi="仿宋" w:eastAsia="仿宋" w:cs="仿宋"/>
                <w:color w:val="FF0000"/>
                <w:kern w:val="0"/>
                <w:sz w:val="24"/>
                <w:lang w:eastAsia="zh-CN"/>
              </w:rPr>
              <w:t>黄学琴</w:t>
            </w:r>
          </w:p>
        </w:tc>
        <w:tc>
          <w:tcPr>
            <w:tcW w:w="4278" w:type="dxa"/>
            <w:tcBorders>
              <w:top w:val="single" w:color="000000" w:sz="2" w:space="0"/>
              <w:left w:val="single" w:color="auto" w:sz="4" w:space="0"/>
              <w:bottom w:val="single" w:color="000000" w:sz="2" w:space="0"/>
              <w:right w:val="single" w:color="auto" w:sz="4" w:space="0"/>
            </w:tcBorders>
            <w:vAlign w:val="center"/>
          </w:tcPr>
          <w:p>
            <w:pPr>
              <w:autoSpaceDE w:val="0"/>
              <w:autoSpaceDN w:val="0"/>
              <w:adjustRightInd w:val="0"/>
              <w:snapToGrid w:val="0"/>
              <w:spacing w:line="400" w:lineRule="atLeast"/>
              <w:ind w:firstLine="480"/>
              <w:jc w:val="left"/>
              <w:rPr>
                <w:rFonts w:hint="eastAsia" w:ascii="仿宋" w:hAnsi="仿宋" w:eastAsia="仿宋" w:cs="仿宋"/>
                <w:color w:val="FF0000"/>
                <w:kern w:val="0"/>
                <w:sz w:val="24"/>
                <w:lang w:val="zh-CN"/>
              </w:rPr>
            </w:pPr>
            <w:r>
              <w:rPr>
                <w:rFonts w:hint="eastAsia" w:ascii="仿宋" w:hAnsi="仿宋" w:eastAsia="仿宋" w:cs="仿宋"/>
                <w:color w:val="FF0000"/>
                <w:kern w:val="0"/>
                <w:sz w:val="24"/>
                <w:szCs w:val="24"/>
                <w:lang w:val="en-US" w:eastAsia="zh-CN" w:bidi="ar-SA"/>
              </w:rPr>
              <w:t>对民办非学历教育机构上报的财务报告，送达并</w:t>
            </w:r>
            <w:r>
              <w:rPr>
                <w:rFonts w:hint="eastAsia" w:ascii="仿宋" w:hAnsi="仿宋" w:eastAsia="仿宋" w:cs="仿宋"/>
                <w:color w:val="FF0000"/>
                <w:kern w:val="0"/>
                <w:sz w:val="24"/>
                <w:lang w:val="zh-CN"/>
              </w:rPr>
              <w:t>公布审核结果。</w:t>
            </w:r>
            <w:bookmarkStart w:id="0" w:name="_GoBack"/>
            <w:bookmarkEnd w:id="0"/>
          </w:p>
        </w:tc>
        <w:tc>
          <w:tcPr>
            <w:tcW w:w="1769" w:type="dxa"/>
            <w:tcBorders>
              <w:top w:val="single" w:color="000000" w:sz="2" w:space="0"/>
              <w:left w:val="single" w:color="auto" w:sz="4" w:space="0"/>
              <w:bottom w:val="single" w:color="auto" w:sz="4" w:space="0"/>
              <w:right w:val="single" w:color="000000" w:sz="2" w:space="0"/>
            </w:tcBorders>
            <w:vAlign w:val="center"/>
          </w:tcPr>
          <w:p>
            <w:pPr>
              <w:autoSpaceDE w:val="0"/>
              <w:autoSpaceDN w:val="0"/>
              <w:adjustRightInd w:val="0"/>
              <w:snapToGrid w:val="0"/>
              <w:spacing w:line="400" w:lineRule="atLeast"/>
              <w:jc w:val="left"/>
              <w:rPr>
                <w:rFonts w:hint="eastAsia" w:ascii="仿宋" w:hAnsi="仿宋" w:eastAsia="仿宋" w:cs="仿宋"/>
                <w:color w:val="FF0000"/>
                <w:kern w:val="0"/>
                <w:sz w:val="24"/>
                <w:lang w:val="en-US" w:eastAsia="zh-CN"/>
              </w:rPr>
            </w:pPr>
            <w:r>
              <w:rPr>
                <w:rFonts w:hint="eastAsia" w:ascii="仿宋" w:hAnsi="仿宋" w:eastAsia="仿宋" w:cs="仿宋"/>
                <w:color w:val="FF0000"/>
                <w:kern w:val="0"/>
                <w:sz w:val="24"/>
                <w:lang w:val="en-US" w:eastAsia="zh-CN"/>
              </w:rPr>
              <w:t xml:space="preserve">       无</w:t>
            </w:r>
          </w:p>
        </w:tc>
      </w:tr>
      <w:tr>
        <w:tblPrEx>
          <w:tblLayout w:type="fixed"/>
          <w:tblCellMar>
            <w:top w:w="0" w:type="dxa"/>
            <w:left w:w="14" w:type="dxa"/>
            <w:bottom w:w="0" w:type="dxa"/>
            <w:right w:w="14" w:type="dxa"/>
          </w:tblCellMar>
        </w:tblPrEx>
        <w:trPr>
          <w:trHeight w:val="2045" w:hRule="atLeast"/>
        </w:trPr>
        <w:tc>
          <w:tcPr>
            <w:tcW w:w="1079"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备</w:t>
            </w:r>
            <w:r>
              <w:rPr>
                <w:rFonts w:hint="eastAsia" w:ascii="黑体" w:hAnsi="黑体" w:eastAsia="黑体" w:cs="黑体"/>
                <w:kern w:val="0"/>
                <w:sz w:val="24"/>
              </w:rPr>
              <w:t xml:space="preserve">  </w:t>
            </w:r>
            <w:r>
              <w:rPr>
                <w:rFonts w:hint="eastAsia" w:ascii="黑体" w:hAnsi="黑体" w:eastAsia="黑体" w:cs="黑体"/>
                <w:kern w:val="0"/>
                <w:sz w:val="24"/>
                <w:lang w:val="zh-CN"/>
              </w:rPr>
              <w:t>注</w:t>
            </w:r>
          </w:p>
        </w:tc>
        <w:tc>
          <w:tcPr>
            <w:tcW w:w="7541" w:type="dxa"/>
            <w:gridSpan w:val="3"/>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napToGrid w:val="0"/>
              <w:spacing w:line="400" w:lineRule="atLeas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1.依法需要听证、招标、拍卖、检查、检测、检疫、鉴定、公示和专家评审等，不计算在办理期限内。</w:t>
            </w:r>
          </w:p>
          <w:p>
            <w:pPr>
              <w:autoSpaceDE w:val="0"/>
              <w:autoSpaceDN w:val="0"/>
              <w:adjustRightInd w:val="0"/>
              <w:snapToGrid w:val="0"/>
              <w:spacing w:line="400" w:lineRule="atLeas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2.受理和送达环节不计算在办理期限内。</w:t>
            </w:r>
          </w:p>
          <w:p>
            <w:pPr>
              <w:autoSpaceDE w:val="0"/>
              <w:autoSpaceDN w:val="0"/>
              <w:adjustRightInd w:val="0"/>
              <w:snapToGrid w:val="0"/>
              <w:spacing w:line="400" w:lineRule="atLeast"/>
              <w:jc w:val="left"/>
              <w:rPr>
                <w:rFonts w:hint="eastAsia" w:ascii="仿宋" w:hAnsi="仿宋" w:eastAsia="仿宋" w:cs="仿宋"/>
                <w:color w:val="FF0000"/>
                <w:kern w:val="0"/>
                <w:sz w:val="24"/>
                <w:lang w:val="zh-CN"/>
              </w:rPr>
            </w:pPr>
            <w:r>
              <w:rPr>
                <w:rFonts w:hint="eastAsia" w:ascii="仿宋" w:hAnsi="仿宋" w:eastAsia="仿宋" w:cs="仿宋"/>
                <w:color w:val="FF0000"/>
                <w:kern w:val="0"/>
                <w:sz w:val="24"/>
              </w:rPr>
              <w:t xml:space="preserve">    3.</w:t>
            </w:r>
            <w:r>
              <w:rPr>
                <w:rFonts w:hint="eastAsia" w:ascii="仿宋" w:hAnsi="仿宋" w:eastAsia="仿宋" w:cs="仿宋"/>
                <w:color w:val="FF0000"/>
                <w:kern w:val="0"/>
                <w:sz w:val="24"/>
                <w:lang w:val="zh-CN"/>
              </w:rPr>
              <w:t>法定办理期限为</w:t>
            </w:r>
            <w:r>
              <w:rPr>
                <w:rFonts w:hint="eastAsia" w:ascii="仿宋" w:hAnsi="仿宋" w:eastAsia="仿宋" w:cs="仿宋"/>
                <w:color w:val="FF0000"/>
                <w:kern w:val="0"/>
                <w:sz w:val="24"/>
              </w:rPr>
              <w:t>3个月</w:t>
            </w:r>
            <w:r>
              <w:rPr>
                <w:rFonts w:hint="eastAsia" w:ascii="仿宋" w:hAnsi="仿宋" w:eastAsia="仿宋" w:cs="仿宋"/>
                <w:color w:val="FF0000"/>
                <w:kern w:val="0"/>
                <w:sz w:val="24"/>
                <w:lang w:val="zh-CN"/>
              </w:rPr>
              <w:t>，承诺办理期限为</w:t>
            </w:r>
            <w:r>
              <w:rPr>
                <w:rFonts w:hint="eastAsia" w:ascii="仿宋" w:hAnsi="仿宋" w:eastAsia="仿宋" w:cs="仿宋"/>
                <w:color w:val="FF0000"/>
                <w:kern w:val="0"/>
                <w:sz w:val="24"/>
              </w:rPr>
              <w:t>15</w:t>
            </w:r>
            <w:r>
              <w:rPr>
                <w:rFonts w:hint="eastAsia" w:ascii="仿宋" w:hAnsi="仿宋" w:eastAsia="仿宋" w:cs="仿宋"/>
                <w:color w:val="FF0000"/>
                <w:kern w:val="0"/>
                <w:sz w:val="24"/>
                <w:lang w:val="zh-CN"/>
              </w:rPr>
              <w:t>个工作日。</w:t>
            </w:r>
          </w:p>
        </w:tc>
      </w:tr>
    </w:tbl>
    <w:p>
      <w:pPr>
        <w:keepNext w:val="0"/>
        <w:keepLines w:val="0"/>
        <w:pageBreakBefore w:val="0"/>
        <w:widowControl w:val="0"/>
        <w:kinsoku/>
        <w:wordWrap/>
        <w:overflowPunct/>
        <w:topLinePunct w:val="0"/>
        <w:autoSpaceDE/>
        <w:autoSpaceDN/>
        <w:bidi w:val="0"/>
        <w:adjustRightInd/>
        <w:snapToGrid/>
        <w:spacing w:line="160" w:lineRule="exact"/>
        <w:ind w:left="0" w:leftChars="0" w:right="0" w:rightChars="0" w:firstLine="0" w:firstLineChars="0"/>
        <w:jc w:val="both"/>
        <w:textAlignment w:val="auto"/>
        <w:outlineLvl w:val="9"/>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roman"/>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Unicode"/>
    <w:panose1 w:val="020F0502020204030204"/>
    <w:charset w:val="00"/>
    <w:family w:val="swiss"/>
    <w:pitch w:val="default"/>
    <w:sig w:usb0="00000000" w:usb1="00000000" w:usb2="00000001" w:usb3="00000000" w:csb0="0000019F" w:csb1="00000000"/>
  </w:font>
  <w:font w:name="Palatino Linotype">
    <w:panose1 w:val="02040502050505030304"/>
    <w:charset w:val="00"/>
    <w:family w:val="auto"/>
    <w:pitch w:val="default"/>
    <w:sig w:usb0="E0000387" w:usb1="40000013" w:usb2="00000000" w:usb3="00000000" w:csb0="2000019F" w:csb1="00000000"/>
  </w:font>
  <w:font w:name="Lucida Sans Unicode">
    <w:panose1 w:val="020B0602030504020204"/>
    <w:charset w:val="00"/>
    <w:family w:val="auto"/>
    <w:pitch w:val="default"/>
    <w:sig w:usb0="80001AFF" w:usb1="0000396B" w:usb2="00000000" w:usb3="00000000" w:csb0="0000003F" w:csb1="D7F70000"/>
  </w:font>
  <w:font w:name="Lucida Sans Unicode">
    <w:panose1 w:val="020B0602030504020204"/>
    <w:charset w:val="00"/>
    <w:family w:val="swiss"/>
    <w:pitch w:val="default"/>
    <w:sig w:usb0="80001AFF" w:usb1="0000396B" w:usb2="00000000" w:usb3="00000000" w:csb0="0000003F" w:csb1="D7F70000"/>
  </w:font>
  <w:font w:name="方正小标宋简体">
    <w:altName w:val="黑体"/>
    <w:panose1 w:val="03000509000000000000"/>
    <w:charset w:val="86"/>
    <w:family w:val="script"/>
    <w:pitch w:val="default"/>
    <w:sig w:usb0="00000000" w:usb1="00000000" w:usb2="00000000" w:usb3="00000000" w:csb0="00040000" w:csb1="00000000"/>
  </w:font>
  <w:font w:name="黑体">
    <w:panose1 w:val="02010600030101010101"/>
    <w:charset w:val="86"/>
    <w:family w:val="modern"/>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仿宋">
    <w:altName w:val="仿宋_GB2312"/>
    <w:panose1 w:val="02010609060101010101"/>
    <w:charset w:val="86"/>
    <w:family w:val="swiss"/>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黑体">
    <w:panose1 w:val="02010600030101010101"/>
    <w:charset w:val="86"/>
    <w:family w:val="script"/>
    <w:pitch w:val="default"/>
    <w:sig w:usb0="00000001" w:usb1="080E0000" w:usb2="00000000" w:usb3="00000000" w:csb0="00040000" w:csb1="00000000"/>
  </w:font>
  <w:font w:name="仿宋_GB2312">
    <w:panose1 w:val="02010609030101010101"/>
    <w:charset w:val="86"/>
    <w:family w:val="swiss"/>
    <w:pitch w:val="default"/>
    <w:sig w:usb0="00000001" w:usb1="080E0000" w:usb2="00000000" w:usb3="00000000" w:csb0="00040000" w:csb1="00000000"/>
  </w:font>
  <w:font w:name="Arial">
    <w:panose1 w:val="020B0604020202020204"/>
    <w:charset w:val="00"/>
    <w:family w:val="auto"/>
    <w:pitch w:val="default"/>
    <w:sig w:usb0="00007A87" w:usb1="80000000" w:usb2="00000008" w:usb3="00000000" w:csb0="400001FF" w:csb1="FFFF0000"/>
  </w:font>
  <w:font w:name="Microsoft YaHei">
    <w:altName w:val="Courier New"/>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00007A87" w:usb1="80000000" w:usb2="00000008" w:usb3="00000000" w:csb0="400001FF" w:csb1="FFFF0000"/>
  </w:font>
  <w:font w:name="微软雅黑">
    <w:altName w:val="黑体"/>
    <w:panose1 w:val="00000000000000000000"/>
    <w:charset w:val="00"/>
    <w:family w:val="auto"/>
    <w:pitch w:val="default"/>
    <w:sig w:usb0="00000000" w:usb1="00000000" w:usb2="00000000" w:usb3="00000000" w:csb0="00000000" w:csb1="00000000"/>
  </w:font>
  <w:font w:name="仿宋">
    <w:altName w:val="仿宋_GB2312"/>
    <w:panose1 w:val="00000000000000000000"/>
    <w:charset w:val="00"/>
    <w:family w:val="auto"/>
    <w:pitch w:val="default"/>
    <w:sig w:usb0="00000000" w:usb1="00000000" w:usb2="00000000" w:usb3="00000000" w:csb0="00000000" w:csb1="00000000"/>
  </w:font>
  <w:font w:name="Lucida Sans Unicode">
    <w:panose1 w:val="020B0602030504020204"/>
    <w:charset w:val="00"/>
    <w:family w:val="swiss"/>
    <w:pitch w:val="default"/>
    <w:sig w:usb0="80001AFF" w:usb1="0000396B" w:usb2="00000000" w:usb3="00000000" w:csb0="0000003F" w:csb1="D7F70000"/>
  </w:font>
  <w:font w:name="仿宋_GB2312">
    <w:panose1 w:val="02010609030101010101"/>
    <w:charset w:val="86"/>
    <w:family w:val="modern"/>
    <w:pitch w:val="default"/>
    <w:sig w:usb0="00000001" w:usb1="080E0000" w:usb2="00000000" w:usb3="00000000" w:csb0="00040000" w:csb1="00000000"/>
  </w:font>
  <w:font w:name="Microsoft Sans Serif">
    <w:panose1 w:val="020B0604020202020204"/>
    <w:charset w:val="00"/>
    <w:family w:val="auto"/>
    <w:pitch w:val="default"/>
    <w:sig w:usb0="61007BDF" w:usb1="80000000" w:usb2="00000008" w:usb3="00000000" w:csb0="200101FF" w:csb1="20280000"/>
  </w:font>
  <w:font w:name="Microsoft Sans Serif">
    <w:panose1 w:val="020B0604020202020204"/>
    <w:charset w:val="00"/>
    <w:family w:val="swiss"/>
    <w:pitch w:val="default"/>
    <w:sig w:usb0="61007BDF" w:usb1="80000000" w:usb2="00000008" w:usb3="00000000" w:csb0="200101FF" w:csb1="20280000"/>
  </w:font>
  <w:font w:name="Arial Narrow">
    <w:altName w:val="Arial"/>
    <w:panose1 w:val="020B0606020202030204"/>
    <w:charset w:val="00"/>
    <w:family w:val="auto"/>
    <w:pitch w:val="default"/>
    <w:sig w:usb0="00000000" w:usb1="00000000" w:usb2="00000000" w:usb3="00000000" w:csb0="2000009F" w:csb1="DFD70000"/>
  </w:font>
  <w:font w:name="Arial Narrow">
    <w:altName w:val="Arial"/>
    <w:panose1 w:val="020B0606020202030204"/>
    <w:charset w:val="01"/>
    <w:family w:val="swiss"/>
    <w:pitch w:val="default"/>
    <w:sig w:usb0="00000000" w:usb1="00000000" w:usb2="00000000" w:usb3="00000000" w:csb0="2000009F" w:csb1="DFD70000"/>
  </w:font>
  <w:font w:name="Wingdings 2">
    <w:altName w:val="Wingdings"/>
    <w:panose1 w:val="05020102010507070707"/>
    <w:charset w:val="00"/>
    <w:family w:val="auto"/>
    <w:pitch w:val="default"/>
    <w:sig w:usb0="00000000" w:usb1="00000000" w:usb2="00000000" w:usb3="00000000" w:csb0="80000000" w:csb1="00000000"/>
  </w:font>
  <w:font w:name="Bookshelf Symbol 7">
    <w:altName w:val="Symbol"/>
    <w:panose1 w:val="05010101010101010101"/>
    <w:charset w:val="00"/>
    <w:family w:val="auto"/>
    <w:pitch w:val="default"/>
    <w:sig w:usb0="00000000" w:usb1="00000000" w:usb2="00000000" w:usb3="00000000" w:csb0="80000000" w:csb1="00000000"/>
  </w:font>
  <w:font w:name="PMingLiU">
    <w:panose1 w:val="02020300000000000000"/>
    <w:charset w:val="88"/>
    <w:family w:val="auto"/>
    <w:pitch w:val="default"/>
    <w:sig w:usb0="00000003" w:usb1="082E0000" w:usb2="00000016" w:usb3="00000000" w:csb0="00100001" w:csb1="00000000"/>
  </w:font>
  <w:font w:name="MS Reference Sans Serif">
    <w:altName w:val="Verdana"/>
    <w:panose1 w:val="020B0604030504040204"/>
    <w:charset w:val="00"/>
    <w:family w:val="auto"/>
    <w:pitch w:val="default"/>
    <w:sig w:usb0="00000000" w:usb1="00000000" w:usb2="00000000" w:usb3="00000000" w:csb0="2000019F" w:csb1="00000000"/>
  </w:font>
  <w:font w:name="Book Antiqua">
    <w:altName w:val="Palatino Linotype"/>
    <w:panose1 w:val="02040602050305030304"/>
    <w:charset w:val="00"/>
    <w:family w:val="auto"/>
    <w:pitch w:val="default"/>
    <w:sig w:usb0="00000000" w:usb1="00000000" w:usb2="00000000" w:usb3="00000000" w:csb0="2000009F" w:csb1="DFD70000"/>
  </w:font>
  <w:font w:name="MingLiU">
    <w:panose1 w:val="02020309000000000000"/>
    <w:charset w:val="88"/>
    <w:family w:val="auto"/>
    <w:pitch w:val="default"/>
    <w:sig w:usb0="00000003" w:usb1="082E0000" w:usb2="00000016" w:usb3="00000000" w:csb0="00100001" w:csb1="00000000"/>
  </w:font>
  <w:font w:name="Bookman Old Style">
    <w:altName w:val="Georgia"/>
    <w:panose1 w:val="02050604050505020204"/>
    <w:charset w:val="00"/>
    <w:family w:val="auto"/>
    <w:pitch w:val="default"/>
    <w:sig w:usb0="00000000" w:usb1="00000000" w:usb2="00000000" w:usb3="00000000" w:csb0="2000009F" w:csb1="DFD7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Verdana">
    <w:panose1 w:val="020B0604030504040204"/>
    <w:charset w:val="00"/>
    <w:family w:val="auto"/>
    <w:pitch w:val="default"/>
    <w:sig w:usb0="00000287" w:usb1="00000000" w:usb2="00000000" w:usb3="00000000" w:csb0="2000019F" w:csb1="00000000"/>
  </w:font>
  <w:font w:name="Georgia">
    <w:panose1 w:val="02040502050405020303"/>
    <w:charset w:val="00"/>
    <w:family w:val="auto"/>
    <w:pitch w:val="default"/>
    <w:sig w:usb0="00000287" w:usb1="00000000" w:usb2="00000000" w:usb3="00000000" w:csb0="2000009F" w:csb1="00000000"/>
  </w:font>
  <w:font w:name="黑体">
    <w:panose1 w:val="0201060003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6E4EF3"/>
    <w:rsid w:val="01355880"/>
    <w:rsid w:val="437A156B"/>
    <w:rsid w:val="49824DB8"/>
    <w:rsid w:val="4A6E4EF3"/>
    <w:rsid w:val="5D700476"/>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rPr>
      <w:sz w:val="24"/>
    </w:rPr>
  </w:style>
  <w:style w:type="character" w:styleId="4">
    <w:name w:val="FollowedHyperlink"/>
    <w:basedOn w:val="3"/>
    <w:qFormat/>
    <w:uiPriority w:val="0"/>
    <w:rPr>
      <w:rFonts w:hint="eastAsia" w:ascii="宋体" w:hAnsi="宋体" w:eastAsia="宋体" w:cs="宋体"/>
      <w:color w:val="000000"/>
      <w:u w:val="none"/>
    </w:rPr>
  </w:style>
  <w:style w:type="character" w:styleId="5">
    <w:name w:val="Hyperlink"/>
    <w:basedOn w:val="3"/>
    <w:qFormat/>
    <w:uiPriority w:val="0"/>
    <w:rPr>
      <w:rFonts w:hint="eastAsia" w:ascii="宋体" w:hAnsi="宋体" w:eastAsia="宋体" w:cs="宋体"/>
      <w:color w:val="00000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Office_10.1.0.5777_F1E327BC-269C-435d-A152-05C5408002CA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2016-06-30T03:11:00Z</dcterms:created>
  <dc:creator>Administrator</dc:creator>
  <cp:lastModifiedBy>Administrator</cp:lastModifiedBy>
  <dcterms:modified xsi:type="dcterms:W3CDTF">2016-07-12T09:54:19Z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2052-10.1.0.5777</vt:lpwstr>
  </property>
</Properties>
</file>